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F49A6" w:rsidRPr="00371425" w14:paraId="5DD6751D" w14:textId="77777777" w:rsidTr="005E6C56">
        <w:trPr>
          <w:trHeight w:val="1408"/>
        </w:trPr>
        <w:tc>
          <w:tcPr>
            <w:tcW w:w="14170" w:type="dxa"/>
          </w:tcPr>
          <w:p w14:paraId="1F4A2F1F" w14:textId="3B8CB5D5" w:rsidR="000F49A6" w:rsidRPr="00371425" w:rsidRDefault="00665C54" w:rsidP="00F815C7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425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[</w:t>
            </w:r>
            <w:r w:rsidR="0075492E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 xml:space="preserve">Governing School </w:t>
            </w:r>
            <w:proofErr w:type="gramStart"/>
            <w:r w:rsidR="0075492E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Name</w:t>
            </w:r>
            <w:r w:rsidR="00FF4BDC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 xml:space="preserve"> </w:t>
            </w:r>
            <w:r w:rsidRPr="00371425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]</w:t>
            </w:r>
            <w:proofErr w:type="gramEnd"/>
            <w:r w:rsidR="000F49A6" w:rsidRPr="00371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5492E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75492E">
              <w:rPr>
                <w:rFonts w:ascii="Arial" w:hAnsi="Arial"/>
                <w:b/>
                <w:sz w:val="28"/>
                <w:szCs w:val="28"/>
              </w:rPr>
              <w:t>een Paren</w:t>
            </w:r>
            <w:r w:rsidR="00947DFB">
              <w:rPr>
                <w:rFonts w:ascii="Arial" w:hAnsi="Arial"/>
                <w:b/>
                <w:sz w:val="28"/>
                <w:szCs w:val="28"/>
              </w:rPr>
              <w:t>t</w:t>
            </w:r>
            <w:r w:rsidR="0075492E">
              <w:rPr>
                <w:rFonts w:ascii="Arial" w:hAnsi="Arial"/>
                <w:b/>
                <w:sz w:val="28"/>
                <w:szCs w:val="28"/>
              </w:rPr>
              <w:t xml:space="preserve"> Unit</w:t>
            </w:r>
            <w:r w:rsidRPr="00371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F4BD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5E6C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42819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FF4BDC" w:rsidRPr="00FF4BD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xx</w:t>
            </w:r>
            <w:r w:rsidR="008428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761F8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Annua</w:t>
            </w:r>
            <w:r w:rsidR="00017A1D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l/ </w:t>
            </w:r>
            <w:r w:rsidR="00BC68B0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M</w:t>
            </w:r>
            <w:r w:rsidR="00C0496C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idyear</w:t>
            </w:r>
            <w:r w:rsidR="00C0496C" w:rsidRPr="00371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68B0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371425" w:rsidRPr="00371425">
              <w:rPr>
                <w:rFonts w:ascii="Arial" w:hAnsi="Arial" w:cs="Arial"/>
                <w:b/>
                <w:sz w:val="28"/>
                <w:szCs w:val="28"/>
              </w:rPr>
              <w:t>rogress</w:t>
            </w:r>
            <w:r w:rsidR="000F49A6" w:rsidRPr="00371425">
              <w:rPr>
                <w:rFonts w:ascii="Arial" w:hAnsi="Arial" w:cs="Arial"/>
                <w:b/>
                <w:sz w:val="28"/>
                <w:szCs w:val="28"/>
              </w:rPr>
              <w:t xml:space="preserve"> Report</w:t>
            </w:r>
          </w:p>
          <w:p w14:paraId="6DD5426D" w14:textId="77777777" w:rsidR="00FE0FB3" w:rsidRDefault="000F49A6" w:rsidP="005E6C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71425">
              <w:rPr>
                <w:rFonts w:ascii="Arial" w:hAnsi="Arial" w:cs="Arial"/>
                <w:b/>
              </w:rPr>
              <w:t xml:space="preserve">Reporting </w:t>
            </w:r>
            <w:r w:rsidR="00665C54" w:rsidRPr="00371425">
              <w:rPr>
                <w:rFonts w:ascii="Arial" w:hAnsi="Arial" w:cs="Arial"/>
                <w:b/>
              </w:rPr>
              <w:t>p</w:t>
            </w:r>
            <w:r w:rsidRPr="00371425">
              <w:rPr>
                <w:rFonts w:ascii="Arial" w:hAnsi="Arial" w:cs="Arial"/>
                <w:b/>
              </w:rPr>
              <w:t xml:space="preserve">eriod: </w:t>
            </w:r>
            <w:r w:rsidR="00FE0FB3" w:rsidRPr="00644631">
              <w:rPr>
                <w:rFonts w:ascii="Arial" w:hAnsi="Arial" w:cs="Arial"/>
                <w:b/>
              </w:rPr>
              <w:t>Annual report</w:t>
            </w:r>
            <w:r w:rsidR="00FE0FB3">
              <w:rPr>
                <w:rFonts w:ascii="Arial" w:hAnsi="Arial" w:cs="Arial"/>
                <w:bCs/>
              </w:rPr>
              <w:t xml:space="preserve"> is due no later than April of the following year.</w:t>
            </w:r>
          </w:p>
          <w:p w14:paraId="6EE7703F" w14:textId="0554ACEA" w:rsidR="000F49A6" w:rsidRDefault="00FE0FB3" w:rsidP="005E6C56">
            <w:pPr>
              <w:pStyle w:val="NoSpacing"/>
              <w:jc w:val="center"/>
              <w:rPr>
                <w:rFonts w:ascii="Arial" w:hAnsi="Arial" w:cs="Arial"/>
              </w:rPr>
            </w:pPr>
            <w:r w:rsidRPr="00644631">
              <w:rPr>
                <w:rFonts w:ascii="Arial" w:hAnsi="Arial" w:cs="Arial"/>
                <w:b/>
                <w:bCs/>
              </w:rPr>
              <w:t>Midyear report</w:t>
            </w:r>
            <w:r>
              <w:rPr>
                <w:rFonts w:ascii="Arial" w:hAnsi="Arial" w:cs="Arial"/>
              </w:rPr>
              <w:t xml:space="preserve"> is due s</w:t>
            </w:r>
            <w:r w:rsidR="00C0496C" w:rsidRPr="00371425">
              <w:rPr>
                <w:rFonts w:ascii="Arial" w:hAnsi="Arial" w:cs="Arial"/>
              </w:rPr>
              <w:t>tart of School Term 1 – the last day of School Term 2</w:t>
            </w:r>
          </w:p>
          <w:p w14:paraId="5587F476" w14:textId="77777777" w:rsidR="005E6C56" w:rsidRPr="00371425" w:rsidRDefault="005E6C56" w:rsidP="00F815C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FCA1028" w14:textId="0790DC79" w:rsidR="00665C54" w:rsidRPr="00371425" w:rsidRDefault="00C0496C" w:rsidP="00C0496C">
            <w:pPr>
              <w:pStyle w:val="Normal1"/>
              <w:jc w:val="center"/>
              <w:rPr>
                <w:i/>
                <w:color w:val="auto"/>
                <w:szCs w:val="22"/>
              </w:rPr>
            </w:pPr>
            <w:r w:rsidRPr="00371425">
              <w:t xml:space="preserve">This report asks for information on all students who have been enrolled in </w:t>
            </w:r>
            <w:r w:rsidR="00603044">
              <w:t xml:space="preserve">TPU </w:t>
            </w:r>
            <w:r w:rsidRPr="00371425">
              <w:t>for 3 weeks or more within the reporting period.</w:t>
            </w:r>
          </w:p>
          <w:p w14:paraId="6EF8E783" w14:textId="7E44B1AB" w:rsidR="00665C54" w:rsidRPr="005E6C56" w:rsidRDefault="00665C54" w:rsidP="005E6C56">
            <w:pPr>
              <w:pStyle w:val="Normal1"/>
              <w:jc w:val="center"/>
              <w:rPr>
                <w:sz w:val="21"/>
                <w:szCs w:val="21"/>
              </w:rPr>
            </w:pPr>
            <w:r w:rsidRPr="005E6C56">
              <w:rPr>
                <w:i/>
                <w:color w:val="auto"/>
                <w:sz w:val="21"/>
                <w:szCs w:val="21"/>
              </w:rPr>
              <w:t>The information provided in this report should be non-identifying unless permission to publish has been obtained in writing from all identifiable parties.</w:t>
            </w:r>
          </w:p>
        </w:tc>
      </w:tr>
      <w:tr w:rsidR="000F49A6" w:rsidRPr="00371425" w14:paraId="31C1A1E0" w14:textId="77777777" w:rsidTr="00245DFD">
        <w:trPr>
          <w:trHeight w:val="991"/>
        </w:trPr>
        <w:tc>
          <w:tcPr>
            <w:tcW w:w="14170" w:type="dxa"/>
          </w:tcPr>
          <w:p w14:paraId="0757C25D" w14:textId="30327967" w:rsidR="00C0496C" w:rsidRDefault="00C0496C" w:rsidP="005E6C56">
            <w:pPr>
              <w:pStyle w:val="NoSpacing"/>
              <w:jc w:val="center"/>
              <w:rPr>
                <w:rStyle w:val="Arial11-10Char"/>
                <w:rFonts w:eastAsia="Calibri" w:cs="Arial"/>
                <w:b w:val="0"/>
              </w:rPr>
            </w:pPr>
            <w:r w:rsidRPr="00371425">
              <w:rPr>
                <w:rStyle w:val="Arial11-10Char"/>
                <w:rFonts w:eastAsia="Calibri" w:cs="Arial"/>
              </w:rPr>
              <w:t>Purpose</w:t>
            </w:r>
            <w:r w:rsidRPr="00371425">
              <w:rPr>
                <w:rStyle w:val="Arial11-10Char"/>
                <w:rFonts w:eastAsia="Calibri" w:cs="Arial"/>
                <w:b w:val="0"/>
              </w:rPr>
              <w:t>: This progress report will be used by the Ministry of Education to:</w:t>
            </w:r>
          </w:p>
          <w:p w14:paraId="4CC821AE" w14:textId="77D67E2E" w:rsidR="00C0496C" w:rsidRPr="00371425" w:rsidRDefault="00071010" w:rsidP="00961CE7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e</w:t>
            </w:r>
            <w:r w:rsidR="00961CE7" w:rsidRPr="00961CE7">
              <w:rPr>
                <w:rStyle w:val="Arial11-10Char"/>
                <w:rFonts w:eastAsia="Calibri" w:cs="Arial"/>
                <w:b w:val="0"/>
              </w:rPr>
              <w:t>valuate outcome data to assess national trends for this group of students</w:t>
            </w:r>
          </w:p>
          <w:p w14:paraId="34C0FD62" w14:textId="4B074C83" w:rsidR="00C0496C" w:rsidRPr="00371425" w:rsidRDefault="00991CEB" w:rsidP="00071010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report on the progression and achievement of priority learners</w:t>
            </w:r>
          </w:p>
          <w:p w14:paraId="6AC56507" w14:textId="6016E61B" w:rsidR="00AF3AB6" w:rsidRPr="00F61223" w:rsidRDefault="00991CEB" w:rsidP="00071010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ensure accountability for public funds</w:t>
            </w:r>
          </w:p>
        </w:tc>
      </w:tr>
    </w:tbl>
    <w:p w14:paraId="6C6BCA3E" w14:textId="77777777" w:rsidR="000F49A6" w:rsidRPr="00371425" w:rsidRDefault="000F49A6" w:rsidP="000F49A6">
      <w:pPr>
        <w:rPr>
          <w:rFonts w:ascii="Arial" w:hAnsi="Arial" w:cs="Arial"/>
          <w:vanish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  <w:gridCol w:w="4111"/>
      </w:tblGrid>
      <w:tr w:rsidR="000F49A6" w:rsidRPr="00371425" w14:paraId="13D12B63" w14:textId="77777777" w:rsidTr="000F49A6">
        <w:trPr>
          <w:trHeight w:val="518"/>
        </w:trPr>
        <w:tc>
          <w:tcPr>
            <w:tcW w:w="10031" w:type="dxa"/>
            <w:shd w:val="clear" w:color="auto" w:fill="D9D9D9"/>
            <w:vAlign w:val="center"/>
          </w:tcPr>
          <w:p w14:paraId="7E3A8B61" w14:textId="77777777" w:rsidR="000F49A6" w:rsidRPr="00371425" w:rsidRDefault="000F49A6" w:rsidP="00F815C7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Reporting measure description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270206F2" w14:textId="77777777" w:rsidR="000F49A6" w:rsidRPr="00371425" w:rsidRDefault="000F49A6" w:rsidP="00F815C7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Fonts w:ascii="Arial" w:hAnsi="Arial" w:cs="Arial"/>
                <w:b/>
              </w:rPr>
              <w:t>Report actual</w:t>
            </w:r>
          </w:p>
        </w:tc>
      </w:tr>
      <w:tr w:rsidR="000F49A6" w:rsidRPr="00371425" w14:paraId="3B5DEB19" w14:textId="77777777" w:rsidTr="00776350">
        <w:trPr>
          <w:trHeight w:val="916"/>
        </w:trPr>
        <w:tc>
          <w:tcPr>
            <w:tcW w:w="10031" w:type="dxa"/>
          </w:tcPr>
          <w:p w14:paraId="5A7A34A7" w14:textId="77777777" w:rsidR="000F49A6" w:rsidRPr="00371425" w:rsidRDefault="000F49A6" w:rsidP="00F815C7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How many?</w:t>
            </w:r>
          </w:p>
          <w:p w14:paraId="1D42D3A5" w14:textId="4AEAD9D1" w:rsidR="000F49A6" w:rsidRPr="00371425" w:rsidRDefault="000F49A6" w:rsidP="00245DFD">
            <w:pPr>
              <w:numPr>
                <w:ilvl w:val="0"/>
                <w:numId w:val="3"/>
              </w:numPr>
              <w:spacing w:after="240" w:line="240" w:lineRule="auto"/>
              <w:rPr>
                <w:rStyle w:val="Arial1100Char"/>
                <w:rFonts w:eastAsia="Calibri" w:cs="Arial"/>
                <w:lang w:val="en-NZ" w:eastAsia="en-NZ"/>
              </w:rPr>
            </w:pPr>
            <w:r w:rsidRPr="00371425">
              <w:rPr>
                <w:rFonts w:ascii="Arial" w:eastAsia="Times New Roman" w:hAnsi="Arial" w:cs="Arial"/>
                <w:lang w:eastAsia="en-NZ"/>
              </w:rPr>
              <w:t>Total number of students who have been enrolled over the reporting perio</w:t>
            </w:r>
            <w:r w:rsidR="005E6C56">
              <w:rPr>
                <w:rFonts w:ascii="Arial" w:eastAsia="Times New Roman" w:hAnsi="Arial" w:cs="Arial"/>
                <w:lang w:eastAsia="en-NZ"/>
              </w:rPr>
              <w:t>d</w:t>
            </w:r>
          </w:p>
        </w:tc>
        <w:tc>
          <w:tcPr>
            <w:tcW w:w="4111" w:type="dxa"/>
            <w:vAlign w:val="center"/>
          </w:tcPr>
          <w:p w14:paraId="44E25EDC" w14:textId="77777777" w:rsidR="00245DFD" w:rsidRPr="00371425" w:rsidRDefault="00245DFD" w:rsidP="005360F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07649" w:rsidRPr="00371425" w14:paraId="7A2449F1" w14:textId="77777777" w:rsidTr="00776350">
        <w:trPr>
          <w:trHeight w:val="525"/>
        </w:trPr>
        <w:tc>
          <w:tcPr>
            <w:tcW w:w="10031" w:type="dxa"/>
          </w:tcPr>
          <w:p w14:paraId="0A891422" w14:textId="1FA57125" w:rsidR="00F07649" w:rsidRPr="00371425" w:rsidRDefault="00F07649" w:rsidP="00245DFD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Total number of student exits within the reporting period</w:t>
            </w:r>
          </w:p>
        </w:tc>
        <w:tc>
          <w:tcPr>
            <w:tcW w:w="4111" w:type="dxa"/>
            <w:vAlign w:val="center"/>
          </w:tcPr>
          <w:p w14:paraId="47D60FAD" w14:textId="77777777" w:rsidR="00F07649" w:rsidRPr="00371425" w:rsidRDefault="00F07649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45DFD" w:rsidRPr="00371425" w14:paraId="14EB7825" w14:textId="77777777" w:rsidTr="00776350">
        <w:trPr>
          <w:trHeight w:val="525"/>
        </w:trPr>
        <w:tc>
          <w:tcPr>
            <w:tcW w:w="10031" w:type="dxa"/>
          </w:tcPr>
          <w:p w14:paraId="1D10FB5F" w14:textId="77777777" w:rsidR="00245DFD" w:rsidRPr="00371425" w:rsidRDefault="00245DFD" w:rsidP="00245DFD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Fonts w:ascii="Arial" w:eastAsia="Times New Roman" w:hAnsi="Arial" w:cs="Arial"/>
                <w:lang w:eastAsia="en-NZ"/>
              </w:rPr>
              <w:t>Total number of students who have been enrolled for 3 weeks or more within the reporting period</w:t>
            </w:r>
            <w:r w:rsidRPr="00371425">
              <w:rPr>
                <w:rStyle w:val="FootnoteReference"/>
                <w:rFonts w:ascii="Arial" w:eastAsia="Times New Roman" w:hAnsi="Arial" w:cs="Arial"/>
                <w:lang w:eastAsia="en-NZ"/>
              </w:rPr>
              <w:footnoteReference w:id="1"/>
            </w:r>
            <w:r w:rsidRPr="00371425">
              <w:rPr>
                <w:rFonts w:ascii="Arial" w:eastAsia="Times New Roman" w:hAnsi="Arial" w:cs="Arial"/>
                <w:lang w:eastAsia="en-NZ"/>
              </w:rPr>
              <w:t>.</w:t>
            </w:r>
          </w:p>
        </w:tc>
        <w:tc>
          <w:tcPr>
            <w:tcW w:w="4111" w:type="dxa"/>
            <w:vAlign w:val="center"/>
          </w:tcPr>
          <w:p w14:paraId="2F882475" w14:textId="599DFC13" w:rsidR="00245DFD" w:rsidRPr="00371425" w:rsidRDefault="00245DFD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49A6" w:rsidRPr="00371425" w14:paraId="47418566" w14:textId="77777777" w:rsidTr="00776350">
        <w:trPr>
          <w:trHeight w:val="525"/>
        </w:trPr>
        <w:tc>
          <w:tcPr>
            <w:tcW w:w="10031" w:type="dxa"/>
          </w:tcPr>
          <w:p w14:paraId="286CDC8A" w14:textId="77777777" w:rsidR="000F49A6" w:rsidRPr="00371425" w:rsidRDefault="000F49A6" w:rsidP="00F815C7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How well?</w:t>
            </w:r>
          </w:p>
          <w:p w14:paraId="73555D57" w14:textId="6FBFFAB9" w:rsidR="000F49A6" w:rsidRPr="00411A1E" w:rsidRDefault="00F13401" w:rsidP="00411A1E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lang w:val="en-NZ"/>
              </w:rPr>
            </w:pPr>
            <w:r>
              <w:rPr>
                <w:rFonts w:ascii="Arial" w:hAnsi="Arial" w:cs="Arial"/>
                <w:lang w:eastAsia="en-NZ"/>
              </w:rPr>
              <w:t>Total nu</w:t>
            </w:r>
            <w:r w:rsidR="00604DEC">
              <w:rPr>
                <w:rFonts w:ascii="Arial" w:hAnsi="Arial" w:cs="Arial"/>
                <w:lang w:eastAsia="en-NZ"/>
              </w:rPr>
              <w:t>mber</w:t>
            </w:r>
            <w:r w:rsidR="00604DEC" w:rsidRPr="00371425">
              <w:rPr>
                <w:rFonts w:ascii="Arial" w:hAnsi="Arial" w:cs="Arial"/>
                <w:lang w:eastAsia="en-NZ"/>
              </w:rPr>
              <w:t xml:space="preserve"> of ILPs that meet the minimum criteria described in the Detailed Service </w:t>
            </w:r>
            <w:r w:rsidR="00604DEC" w:rsidRPr="00371425">
              <w:rPr>
                <w:rFonts w:ascii="Arial" w:hAnsi="Arial" w:cs="Arial"/>
              </w:rPr>
              <w:t>Description</w:t>
            </w:r>
            <w:r w:rsidR="008846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CEAD030" w14:textId="21B81209" w:rsidR="000F49A6" w:rsidRPr="00371425" w:rsidRDefault="000F49A6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71425" w:rsidRPr="00371425" w14:paraId="083E40C8" w14:textId="77777777" w:rsidTr="00576FA1">
        <w:trPr>
          <w:trHeight w:val="525"/>
        </w:trPr>
        <w:tc>
          <w:tcPr>
            <w:tcW w:w="10031" w:type="dxa"/>
            <w:tcBorders>
              <w:bottom w:val="single" w:sz="4" w:space="0" w:color="auto"/>
            </w:tcBorders>
          </w:tcPr>
          <w:p w14:paraId="37A76A3B" w14:textId="0D7CC8EB" w:rsidR="00371425" w:rsidRPr="00411A1E" w:rsidRDefault="005360FB" w:rsidP="00411A1E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b/>
              </w:rPr>
            </w:pPr>
            <w:r>
              <w:rPr>
                <w:rFonts w:ascii="Arial" w:hAnsi="Arial" w:cs="Arial"/>
                <w:lang w:eastAsia="en-NZ"/>
              </w:rPr>
              <w:t>Total number</w:t>
            </w:r>
            <w:r w:rsidR="00371425" w:rsidRPr="00371425">
              <w:rPr>
                <w:rFonts w:ascii="Arial" w:hAnsi="Arial" w:cs="Arial"/>
                <w:lang w:eastAsia="en-NZ"/>
              </w:rPr>
              <w:t xml:space="preserve"> of </w:t>
            </w:r>
            <w:r w:rsidR="00B12652">
              <w:rPr>
                <w:rFonts w:ascii="Arial" w:hAnsi="Arial" w:cs="Arial"/>
                <w:lang w:eastAsia="en-NZ"/>
              </w:rPr>
              <w:t>students with an 80% attendance rate or higher</w:t>
            </w:r>
            <w:r w:rsidR="00E50821">
              <w:rPr>
                <w:rFonts w:ascii="Arial" w:hAnsi="Arial" w:cs="Arial"/>
                <w:lang w:eastAsia="en-NZ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CA31A8C" w14:textId="2D98BA30" w:rsidR="00371425" w:rsidRPr="00371425" w:rsidRDefault="00371425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71425" w:rsidRPr="00371425" w14:paraId="4B9CB514" w14:textId="77777777" w:rsidTr="00E33562">
        <w:trPr>
          <w:trHeight w:val="525"/>
        </w:trPr>
        <w:tc>
          <w:tcPr>
            <w:tcW w:w="10031" w:type="dxa"/>
            <w:tcBorders>
              <w:bottom w:val="single" w:sz="4" w:space="0" w:color="auto"/>
            </w:tcBorders>
          </w:tcPr>
          <w:p w14:paraId="3FAFE7E0" w14:textId="77777777" w:rsidR="00371425" w:rsidRPr="00051167" w:rsidRDefault="005360FB" w:rsidP="0037142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</w:rPr>
              <w:t>Total number of students</w:t>
            </w:r>
            <w:r w:rsidR="00371425" w:rsidRPr="00371425">
              <w:rPr>
                <w:rFonts w:ascii="Arial" w:hAnsi="Arial" w:cs="Arial"/>
              </w:rPr>
              <w:t xml:space="preserve"> who have </w:t>
            </w:r>
            <w:r w:rsidR="00E23BCA">
              <w:rPr>
                <w:rFonts w:ascii="Arial" w:hAnsi="Arial" w:cs="Arial"/>
              </w:rPr>
              <w:t>demonstrated</w:t>
            </w:r>
            <w:r w:rsidR="00371425" w:rsidRPr="00371425">
              <w:rPr>
                <w:rFonts w:ascii="Arial" w:hAnsi="Arial" w:cs="Arial"/>
              </w:rPr>
              <w:t xml:space="preserve"> progress</w:t>
            </w:r>
            <w:r w:rsidR="00E23BCA">
              <w:rPr>
                <w:rFonts w:ascii="Arial" w:hAnsi="Arial" w:cs="Arial"/>
              </w:rPr>
              <w:t xml:space="preserve"> in developing their career co</w:t>
            </w:r>
            <w:r w:rsidR="006A6255">
              <w:rPr>
                <w:rFonts w:ascii="Arial" w:hAnsi="Arial" w:cs="Arial"/>
              </w:rPr>
              <w:t xml:space="preserve">mpetencies and/or progress towards transition goals </w:t>
            </w:r>
          </w:p>
          <w:p w14:paraId="5747FCEA" w14:textId="30A1D774" w:rsidR="00085234" w:rsidRPr="00491BB8" w:rsidRDefault="00726BD1" w:rsidP="000F16C5">
            <w:pPr>
              <w:pStyle w:val="NoSpacing"/>
              <w:ind w:left="741"/>
              <w:rPr>
                <w:rStyle w:val="Arial1100Char"/>
                <w:rFonts w:eastAsia="Calibri" w:cs="Arial"/>
                <w:bCs/>
                <w:sz w:val="20"/>
                <w:szCs w:val="20"/>
              </w:rPr>
            </w:pPr>
            <w:r w:rsidRPr="000F16C5">
              <w:rPr>
                <w:rStyle w:val="Arial1100Char"/>
                <w:rFonts w:eastAsia="Calibri"/>
                <w:bCs/>
                <w:color w:val="2F5496" w:themeColor="accent5" w:themeShade="BF"/>
                <w:sz w:val="18"/>
                <w:szCs w:val="18"/>
              </w:rPr>
              <w:t>.</w:t>
            </w:r>
            <w:r w:rsidRPr="00EA4870">
              <w:rPr>
                <w:rStyle w:val="Arial1100Char"/>
                <w:rFonts w:eastAsia="Calibri"/>
                <w:bCs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FBE890D" w14:textId="572B91E3" w:rsidR="00371425" w:rsidRPr="00371425" w:rsidRDefault="00371425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D1B18" w:rsidRPr="00576FA1" w14:paraId="174AEF23" w14:textId="77777777" w:rsidTr="00E33562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A4B0E" w14:textId="375E375E" w:rsidR="00DC460C" w:rsidRPr="00576FA1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>The ILP minimum criteria is outlined in the 2016 TPU MoU; Appendix One- Service Description.</w:t>
            </w:r>
          </w:p>
          <w:p w14:paraId="49AE5A16" w14:textId="44FC64D9" w:rsidR="00DC460C" w:rsidRPr="00576FA1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>Attendance rates can be gathered as per your standard SMS systems.</w:t>
            </w:r>
          </w:p>
          <w:p w14:paraId="0E90C9BB" w14:textId="0DEC1ACE" w:rsidR="007E62FF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 xml:space="preserve">Please note the method of measuring ‘lift in achievement’ is as determined by the Board.  This will differ depending on the year level of students and testing tools </w:t>
            </w:r>
            <w:proofErr w:type="spellStart"/>
            <w:r w:rsidRPr="00576FA1">
              <w:rPr>
                <w:i/>
                <w:iCs/>
                <w:sz w:val="18"/>
                <w:szCs w:val="18"/>
              </w:rPr>
              <w:t>utilised</w:t>
            </w:r>
            <w:proofErr w:type="spellEnd"/>
            <w:r w:rsidRPr="00576FA1">
              <w:rPr>
                <w:i/>
                <w:iCs/>
                <w:sz w:val="18"/>
                <w:szCs w:val="18"/>
              </w:rPr>
              <w:t xml:space="preserve">.  </w:t>
            </w:r>
          </w:p>
          <w:p w14:paraId="0092B558" w14:textId="164AAB42" w:rsidR="003D1B18" w:rsidRPr="00576FA1" w:rsidRDefault="00DC460C" w:rsidP="00576FA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576F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Tools such as the Career Education Benchmarks (</w:t>
            </w:r>
            <w:hyperlink r:id="rId11" w:history="1">
              <w:r w:rsidRPr="00576FA1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http://www.careers.govt.nz/practitioners/planning/career-education-benchmarks/revised-career-education-benchmarks-secondary/</w:t>
              </w:r>
            </w:hyperlink>
            <w:r w:rsidRPr="00576F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)  or the NZ Career Education and Guidance resource on TKI may support the development of effective ILP goals related to career competencies and transition.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398D5" w14:textId="77777777" w:rsidR="003D1B18" w:rsidRPr="00576FA1" w:rsidRDefault="003D1B18" w:rsidP="00776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A6" w:rsidRPr="00371425" w14:paraId="51044B6D" w14:textId="77777777" w:rsidTr="009F14E6">
        <w:trPr>
          <w:trHeight w:val="739"/>
        </w:trPr>
        <w:tc>
          <w:tcPr>
            <w:tcW w:w="10031" w:type="dxa"/>
            <w:tcBorders>
              <w:top w:val="single" w:sz="4" w:space="0" w:color="auto"/>
            </w:tcBorders>
          </w:tcPr>
          <w:p w14:paraId="640D16FB" w14:textId="1C984F07" w:rsidR="000F49A6" w:rsidRDefault="00FB5E48" w:rsidP="0097562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Total </w:t>
            </w:r>
            <w:r w:rsidR="000F49A6" w:rsidRPr="00975626">
              <w:rPr>
                <w:rFonts w:ascii="Arial" w:hAnsi="Arial" w:cs="Arial"/>
              </w:rPr>
              <w:t xml:space="preserve">Number </w:t>
            </w:r>
            <w:r w:rsidR="000F49A6" w:rsidRPr="00371425">
              <w:rPr>
                <w:rFonts w:ascii="Arial" w:hAnsi="Arial" w:cs="Arial"/>
              </w:rPr>
              <w:t>of students who have demonstrated a lift in numeracy.</w:t>
            </w:r>
          </w:p>
          <w:p w14:paraId="392E7DAF" w14:textId="77777777" w:rsidR="00975626" w:rsidRPr="00975626" w:rsidRDefault="00975626" w:rsidP="00975626">
            <w:pPr>
              <w:spacing w:after="0"/>
              <w:ind w:left="72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65377D6A" w14:textId="77777777" w:rsidR="00245DFD" w:rsidRPr="00371425" w:rsidRDefault="00245DFD" w:rsidP="00245DFD">
            <w:pPr>
              <w:spacing w:after="240" w:line="240" w:lineRule="auto"/>
              <w:ind w:left="720"/>
              <w:rPr>
                <w:rStyle w:val="Arial1100Char"/>
                <w:rFonts w:eastAsia="Calibri" w:cs="Arial"/>
                <w:lang w:val="en-NZ"/>
              </w:rPr>
            </w:pPr>
            <w:r w:rsidRPr="00371425">
              <w:rPr>
                <w:rFonts w:ascii="Arial" w:hAnsi="Arial" w:cs="Arial"/>
              </w:rPr>
              <w:t>Please list the assessment tools used.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C0D3056" w14:textId="1D1C272B" w:rsidR="000F49A6" w:rsidRPr="0089130B" w:rsidRDefault="000F49A6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1475484A" w14:textId="77777777" w:rsidTr="0089130B">
        <w:trPr>
          <w:trHeight w:val="739"/>
        </w:trPr>
        <w:tc>
          <w:tcPr>
            <w:tcW w:w="10031" w:type="dxa"/>
          </w:tcPr>
          <w:p w14:paraId="2CCE7BED" w14:textId="2D424AAC" w:rsidR="00245DFD" w:rsidRPr="00371425" w:rsidRDefault="00FB5E48" w:rsidP="00245DFD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NZ"/>
              </w:rPr>
              <w:t xml:space="preserve">Total </w:t>
            </w:r>
            <w:r w:rsidR="00245DFD" w:rsidRPr="00371425">
              <w:rPr>
                <w:rFonts w:ascii="Arial" w:eastAsia="Times New Roman" w:hAnsi="Arial" w:cs="Arial"/>
                <w:lang w:eastAsia="en-NZ"/>
              </w:rPr>
              <w:t xml:space="preserve">Number </w:t>
            </w:r>
            <w:r w:rsidR="00245DFD" w:rsidRPr="00371425">
              <w:rPr>
                <w:rFonts w:ascii="Arial" w:hAnsi="Arial" w:cs="Arial"/>
              </w:rPr>
              <w:t>of students who have demonstrated a lift in literacy.</w:t>
            </w:r>
          </w:p>
          <w:p w14:paraId="0874F916" w14:textId="77777777" w:rsidR="00245DFD" w:rsidRPr="00371425" w:rsidRDefault="00245DFD" w:rsidP="00245DFD">
            <w:pPr>
              <w:spacing w:after="240" w:line="240" w:lineRule="auto"/>
              <w:ind w:left="720"/>
              <w:rPr>
                <w:rStyle w:val="Arial1100Char"/>
                <w:rFonts w:eastAsia="Calibri" w:cs="Arial"/>
                <w:lang w:val="en-NZ"/>
              </w:rPr>
            </w:pPr>
            <w:r w:rsidRPr="00371425">
              <w:rPr>
                <w:rFonts w:ascii="Arial" w:hAnsi="Arial" w:cs="Arial"/>
              </w:rPr>
              <w:t>Please list the assessment tools used.</w:t>
            </w:r>
          </w:p>
        </w:tc>
        <w:tc>
          <w:tcPr>
            <w:tcW w:w="4111" w:type="dxa"/>
            <w:vAlign w:val="center"/>
          </w:tcPr>
          <w:p w14:paraId="0A846722" w14:textId="546FFCB3" w:rsidR="00C36D44" w:rsidRPr="0089130B" w:rsidRDefault="00C36D44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187C4403" w14:textId="77777777" w:rsidTr="0089130B">
        <w:trPr>
          <w:trHeight w:val="739"/>
        </w:trPr>
        <w:tc>
          <w:tcPr>
            <w:tcW w:w="10031" w:type="dxa"/>
          </w:tcPr>
          <w:p w14:paraId="3622031E" w14:textId="77777777" w:rsidR="0065111A" w:rsidRPr="00371425" w:rsidRDefault="0065111A" w:rsidP="0065111A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Is anyone better off?</w:t>
            </w:r>
          </w:p>
          <w:p w14:paraId="4C8BFE66" w14:textId="38977EFD" w:rsidR="00245DFD" w:rsidRPr="00371425" w:rsidRDefault="00FB5E48" w:rsidP="0065111A">
            <w:pPr>
              <w:numPr>
                <w:ilvl w:val="0"/>
                <w:numId w:val="3"/>
              </w:numPr>
              <w:rPr>
                <w:rStyle w:val="Arial1100Char"/>
                <w:rFonts w:eastAsia="Calibri" w:cs="Arial"/>
                <w:lang w:val="en-NZ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BE3B39">
              <w:rPr>
                <w:rFonts w:ascii="Arial" w:hAnsi="Arial" w:cs="Arial"/>
              </w:rPr>
              <w:t>Number of students who su</w:t>
            </w:r>
            <w:r w:rsidR="00245DFD" w:rsidRPr="00371425">
              <w:rPr>
                <w:rFonts w:ascii="Arial" w:hAnsi="Arial" w:cs="Arial"/>
              </w:rPr>
              <w:t>ccessfully transitioned into further education or training?</w:t>
            </w:r>
          </w:p>
        </w:tc>
        <w:tc>
          <w:tcPr>
            <w:tcW w:w="4111" w:type="dxa"/>
            <w:vAlign w:val="center"/>
          </w:tcPr>
          <w:p w14:paraId="31AB6CDE" w14:textId="5F97E014" w:rsidR="00245DFD" w:rsidRPr="0089130B" w:rsidRDefault="00245DFD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0AE5AB4A" w14:textId="77777777" w:rsidTr="0089130B">
        <w:trPr>
          <w:trHeight w:val="739"/>
        </w:trPr>
        <w:tc>
          <w:tcPr>
            <w:tcW w:w="10031" w:type="dxa"/>
          </w:tcPr>
          <w:p w14:paraId="221937F2" w14:textId="77777777" w:rsidR="007E24FD" w:rsidRPr="007E24FD" w:rsidRDefault="007E24FD" w:rsidP="007E24FD">
            <w:pPr>
              <w:spacing w:after="0"/>
              <w:ind w:left="720"/>
            </w:pPr>
          </w:p>
          <w:p w14:paraId="7249E5E1" w14:textId="312358A5" w:rsidR="00245DFD" w:rsidRPr="00CB64C8" w:rsidRDefault="00FB5E48" w:rsidP="00245DFD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 xml:space="preserve">Total </w:t>
            </w:r>
            <w:r w:rsidR="00BE3B39">
              <w:rPr>
                <w:rFonts w:ascii="Arial" w:hAnsi="Arial" w:cs="Arial"/>
              </w:rPr>
              <w:t>Number of students who</w:t>
            </w:r>
            <w:r w:rsidR="00245DFD" w:rsidRPr="00371425">
              <w:rPr>
                <w:rFonts w:ascii="Arial" w:hAnsi="Arial" w:cs="Arial"/>
              </w:rPr>
              <w:t xml:space="preserve"> successfully transitioned into employment?</w:t>
            </w:r>
          </w:p>
        </w:tc>
        <w:tc>
          <w:tcPr>
            <w:tcW w:w="4111" w:type="dxa"/>
            <w:vAlign w:val="center"/>
          </w:tcPr>
          <w:p w14:paraId="1804CAD2" w14:textId="607C5906" w:rsidR="00245DFD" w:rsidRPr="0089130B" w:rsidRDefault="00245DFD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27E8F6EC" w14:textId="77777777" w:rsidR="000F49A6" w:rsidRPr="00371425" w:rsidRDefault="000F49A6" w:rsidP="000F49A6">
      <w:pPr>
        <w:pStyle w:val="Normal1"/>
        <w:rPr>
          <w:color w:val="auto"/>
          <w:szCs w:val="22"/>
        </w:rPr>
      </w:pPr>
    </w:p>
    <w:tbl>
      <w:tblPr>
        <w:tblW w:w="14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195"/>
      </w:tblGrid>
      <w:tr w:rsidR="00006853" w:rsidRPr="00371425" w14:paraId="14971CAC" w14:textId="77777777" w:rsidTr="00006853">
        <w:trPr>
          <w:trHeight w:val="334"/>
        </w:trPr>
        <w:tc>
          <w:tcPr>
            <w:tcW w:w="1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5F1A" w14:textId="77777777" w:rsidR="00006853" w:rsidRPr="00371425" w:rsidRDefault="00006853" w:rsidP="00F815C7">
            <w:pPr>
              <w:pStyle w:val="Normal1"/>
              <w:rPr>
                <w:color w:val="auto"/>
                <w:szCs w:val="22"/>
              </w:rPr>
            </w:pPr>
            <w:r w:rsidRPr="00371425">
              <w:rPr>
                <w:b/>
                <w:color w:val="auto"/>
                <w:szCs w:val="22"/>
              </w:rPr>
              <w:t xml:space="preserve">Narrative Report </w:t>
            </w:r>
          </w:p>
        </w:tc>
      </w:tr>
      <w:tr w:rsidR="00006853" w:rsidRPr="00371425" w14:paraId="4AD676E3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8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BD1E" w14:textId="539594EA" w:rsidR="00006853" w:rsidRPr="00371425" w:rsidRDefault="00006853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 xml:space="preserve">Describe </w:t>
            </w:r>
            <w:r w:rsidR="00245DFD" w:rsidRPr="00371425">
              <w:rPr>
                <w:rFonts w:ascii="Arial" w:hAnsi="Arial" w:cs="Arial"/>
              </w:rPr>
              <w:t>your</w:t>
            </w:r>
            <w:r w:rsidRPr="00371425">
              <w:rPr>
                <w:rFonts w:ascii="Arial" w:hAnsi="Arial" w:cs="Arial"/>
              </w:rPr>
              <w:t xml:space="preserve"> highlights from the period, including improvements students have made in the following areas (</w:t>
            </w:r>
            <w:r w:rsidR="00064E05">
              <w:rPr>
                <w:rFonts w:ascii="Arial" w:hAnsi="Arial" w:cs="Arial"/>
              </w:rPr>
              <w:t>p</w:t>
            </w:r>
            <w:r w:rsidR="00064E05">
              <w:rPr>
                <w:rFonts w:cs="Arial"/>
              </w:rPr>
              <w:t xml:space="preserve">lease note </w:t>
            </w:r>
            <w:r w:rsidRPr="00371425">
              <w:rPr>
                <w:rFonts w:ascii="Arial" w:hAnsi="Arial" w:cs="Arial"/>
              </w:rPr>
              <w:t xml:space="preserve">you do not need to report on highlights </w:t>
            </w:r>
            <w:r w:rsidR="00245DFD" w:rsidRPr="00371425">
              <w:rPr>
                <w:rFonts w:ascii="Arial" w:hAnsi="Arial" w:cs="Arial"/>
              </w:rPr>
              <w:t>for every student</w:t>
            </w:r>
            <w:r w:rsidRPr="00371425">
              <w:rPr>
                <w:rFonts w:ascii="Arial" w:hAnsi="Arial" w:cs="Arial"/>
              </w:rPr>
              <w:t>):</w:t>
            </w:r>
          </w:p>
          <w:p w14:paraId="4FEAD814" w14:textId="74F06A8D" w:rsidR="00006853" w:rsidRPr="00371425" w:rsidRDefault="00CC7771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</w:t>
            </w:r>
            <w:r w:rsidR="00245DFD" w:rsidRPr="00371425">
              <w:rPr>
                <w:rFonts w:ascii="Arial" w:hAnsi="Arial" w:cs="Arial"/>
              </w:rPr>
              <w:t xml:space="preserve"> and </w:t>
            </w:r>
            <w:r w:rsidR="00006853" w:rsidRPr="00371425">
              <w:rPr>
                <w:rFonts w:ascii="Arial" w:hAnsi="Arial" w:cs="Arial"/>
              </w:rPr>
              <w:t>attendance</w:t>
            </w:r>
          </w:p>
          <w:p w14:paraId="7F70493C" w14:textId="6AD286EB" w:rsidR="00006853" w:rsidRDefault="00245DFD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h</w:t>
            </w:r>
            <w:r w:rsidR="00006853" w:rsidRPr="00371425">
              <w:rPr>
                <w:rFonts w:ascii="Arial" w:hAnsi="Arial" w:cs="Arial"/>
              </w:rPr>
              <w:t>ealth and wellbeing</w:t>
            </w:r>
          </w:p>
          <w:p w14:paraId="298EE427" w14:textId="37B499A2" w:rsidR="00A849CC" w:rsidRPr="00371425" w:rsidRDefault="00A849CC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competencies</w:t>
            </w:r>
          </w:p>
          <w:p w14:paraId="2028BBA1" w14:textId="29E6B688" w:rsidR="00006853" w:rsidRDefault="00006853" w:rsidP="00006853">
            <w:pPr>
              <w:pStyle w:val="NoSpacing"/>
              <w:ind w:left="1080"/>
              <w:rPr>
                <w:rFonts w:ascii="Arial" w:hAnsi="Arial" w:cs="Arial"/>
              </w:rPr>
            </w:pPr>
          </w:p>
          <w:p w14:paraId="12F53AFA" w14:textId="5B2E35A5" w:rsidR="00E0722F" w:rsidRDefault="00371F41" w:rsidP="00E0722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9D73FBF" w14:textId="6C5C3888" w:rsidR="0067355E" w:rsidRPr="00371425" w:rsidRDefault="002D30AA" w:rsidP="00371F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55B2E3B5" w14:textId="77777777" w:rsidR="00245DFD" w:rsidRPr="00371425" w:rsidRDefault="00245DFD" w:rsidP="00006853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006853" w:rsidRPr="00371425" w14:paraId="4C7A0DC9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7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BE08" w14:textId="77777777" w:rsidR="00006853" w:rsidRPr="00371425" w:rsidRDefault="00006853" w:rsidP="00245DF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What issues have arisen over the reporting period?</w:t>
            </w:r>
          </w:p>
          <w:p w14:paraId="11D5EB09" w14:textId="150E8EDA" w:rsidR="00245DFD" w:rsidRDefault="00245DFD" w:rsidP="00245DFD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56A67F9A" w14:textId="35C49A66" w:rsidR="00245DFD" w:rsidRPr="00371425" w:rsidRDefault="00ED134D" w:rsidP="00E0722F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006853" w:rsidRPr="00371425" w14:paraId="38490F3D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5EF1" w14:textId="77777777" w:rsidR="00006853" w:rsidRPr="00371425" w:rsidRDefault="00006853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Any other key points from the reporting period? (optional)</w:t>
            </w:r>
          </w:p>
          <w:p w14:paraId="47C00424" w14:textId="77777777" w:rsidR="00006853" w:rsidRPr="00371425" w:rsidRDefault="00006853" w:rsidP="00F815C7">
            <w:pPr>
              <w:pStyle w:val="NoSpacing"/>
              <w:rPr>
                <w:rFonts w:ascii="Arial" w:hAnsi="Arial" w:cs="Arial"/>
              </w:rPr>
            </w:pPr>
          </w:p>
          <w:p w14:paraId="2C6BA296" w14:textId="36A1F556" w:rsidR="00245DFD" w:rsidRPr="00371425" w:rsidRDefault="0027249C" w:rsidP="00F815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5002E086" w14:textId="77777777" w:rsidR="009536B2" w:rsidRDefault="009536B2">
      <w:r>
        <w:br w:type="page"/>
      </w:r>
    </w:p>
    <w:tbl>
      <w:tblPr>
        <w:tblW w:w="14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195"/>
      </w:tblGrid>
      <w:tr w:rsidR="00002031" w:rsidRPr="00371425" w14:paraId="52996ABD" w14:textId="77777777" w:rsidTr="00006853"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BE6F" w14:textId="124A85FC" w:rsidR="00002031" w:rsidRPr="00010685" w:rsidRDefault="00283D6E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attach a financial statement for this calendar year.</w:t>
            </w:r>
          </w:p>
          <w:p w14:paraId="172A7363" w14:textId="5DF33D49" w:rsidR="00010685" w:rsidRPr="00010685" w:rsidRDefault="00010685" w:rsidP="00010685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financial statement is required to evidence how the funding has been spent, including any funding retained for </w:t>
            </w:r>
            <w:r w:rsidR="00CB64C8">
              <w:rPr>
                <w:rFonts w:ascii="Arial" w:hAnsi="Arial" w:cs="Arial"/>
              </w:rPr>
              <w:t>administration c</w:t>
            </w:r>
            <w:r>
              <w:rPr>
                <w:rFonts w:ascii="Arial" w:hAnsi="Arial" w:cs="Arial"/>
              </w:rPr>
              <w:t>osts.</w:t>
            </w:r>
          </w:p>
        </w:tc>
      </w:tr>
      <w:tr w:rsidR="003E0B5B" w:rsidRPr="00371425" w14:paraId="2DF30CFA" w14:textId="77777777" w:rsidTr="00006853"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EA94" w14:textId="660FB7AC" w:rsidR="003E0B5B" w:rsidRPr="003E0B5B" w:rsidRDefault="003E0B5B" w:rsidP="003E0B5B">
            <w:pPr>
              <w:pStyle w:val="NoSpacing"/>
              <w:ind w:left="720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0B5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Note that the information provided should be non-identifying unless permission to publish has been obtained in writing from all identifiable parties.</w:t>
            </w:r>
          </w:p>
        </w:tc>
      </w:tr>
    </w:tbl>
    <w:p w14:paraId="65DA5A38" w14:textId="77777777" w:rsidR="000F49A6" w:rsidRDefault="000F49A6" w:rsidP="000F49A6">
      <w:pPr>
        <w:pStyle w:val="Normal1"/>
        <w:rPr>
          <w:color w:val="auto"/>
          <w:szCs w:val="22"/>
        </w:rPr>
      </w:pPr>
    </w:p>
    <w:p w14:paraId="04C405FE" w14:textId="77777777" w:rsidR="00610991" w:rsidRPr="00371425" w:rsidRDefault="00610991" w:rsidP="000F49A6">
      <w:pPr>
        <w:pStyle w:val="Normal1"/>
        <w:rPr>
          <w:color w:val="auto"/>
          <w:szCs w:val="22"/>
        </w:rPr>
      </w:pPr>
    </w:p>
    <w:tbl>
      <w:tblPr>
        <w:tblpPr w:leftFromText="181" w:rightFromText="18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632"/>
      </w:tblGrid>
      <w:tr w:rsidR="000F49A6" w:rsidRPr="00371425" w14:paraId="6C21CF85" w14:textId="77777777" w:rsidTr="003D5F0D">
        <w:trPr>
          <w:trHeight w:val="5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871C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Signed: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A32F6" w14:textId="7E4DAEA4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02FFC6AB" w14:textId="77777777" w:rsidTr="003D5F0D">
        <w:trPr>
          <w:trHeight w:val="3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1E7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2653E271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Date: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2D985" w14:textId="0531D7F2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430F8F47" w14:textId="77777777" w:rsidTr="003D5F0D">
        <w:trPr>
          <w:trHeight w:val="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51A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14C98095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Name: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69E9C" w14:textId="643616E2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4F098FC7" w14:textId="77777777" w:rsidTr="003D5F0D">
        <w:trPr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710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441427E0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Position: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AA786" w14:textId="0A18D03E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</w:tbl>
    <w:p w14:paraId="3CDDA5CD" w14:textId="77777777" w:rsidR="000F49A6" w:rsidRPr="00371425" w:rsidRDefault="000F49A6" w:rsidP="000F49A6">
      <w:pPr>
        <w:pStyle w:val="Normal1"/>
        <w:rPr>
          <w:b/>
        </w:rPr>
      </w:pPr>
    </w:p>
    <w:tbl>
      <w:tblPr>
        <w:tblpPr w:leftFromText="180" w:rightFromText="180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371425" w:rsidRPr="00371425" w14:paraId="792B68D6" w14:textId="77777777" w:rsidTr="009164E2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2E8184" w14:textId="77777777" w:rsidR="00371425" w:rsidRPr="00371425" w:rsidRDefault="00371425" w:rsidP="009164E2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Fonts w:ascii="Arial" w:hAnsi="Arial" w:cs="Arial"/>
                <w:b/>
              </w:rPr>
              <w:t>Report due date</w:t>
            </w:r>
          </w:p>
        </w:tc>
      </w:tr>
      <w:tr w:rsidR="00371425" w:rsidRPr="00371425" w14:paraId="6F74C75E" w14:textId="77777777" w:rsidTr="009164E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950" w14:textId="77777777" w:rsidR="00371425" w:rsidRPr="00371425" w:rsidRDefault="00371425" w:rsidP="009164E2">
            <w:pPr>
              <w:rPr>
                <w:rFonts w:ascii="Arial" w:hAnsi="Arial" w:cs="Arial"/>
                <w:b/>
              </w:rPr>
            </w:pPr>
            <w:r w:rsidRPr="00371425">
              <w:rPr>
                <w:rStyle w:val="Arial1100Char"/>
                <w:rFonts w:eastAsia="Calibri" w:cs="Arial"/>
              </w:rPr>
              <w:t>On the 5</w:t>
            </w:r>
            <w:r w:rsidRPr="00371425">
              <w:rPr>
                <w:rStyle w:val="Arial1100Char"/>
                <w:rFonts w:eastAsia="Calibri" w:cs="Arial"/>
                <w:vertAlign w:val="superscript"/>
              </w:rPr>
              <w:t>th</w:t>
            </w:r>
            <w:r w:rsidRPr="00371425">
              <w:rPr>
                <w:rStyle w:val="Arial1100Char"/>
                <w:rFonts w:eastAsia="Calibri" w:cs="Arial"/>
              </w:rPr>
              <w:t xml:space="preserve"> working day following the start of school term 3</w:t>
            </w:r>
          </w:p>
        </w:tc>
      </w:tr>
    </w:tbl>
    <w:p w14:paraId="6E116206" w14:textId="4D8817AB" w:rsidR="006D051A" w:rsidRDefault="006D051A" w:rsidP="00DF7F3C">
      <w:pPr>
        <w:spacing w:after="120"/>
        <w:rPr>
          <w:rFonts w:ascii="Arial" w:hAnsi="Arial" w:cs="Arial"/>
        </w:rPr>
      </w:pPr>
    </w:p>
    <w:p w14:paraId="7900E105" w14:textId="77777777" w:rsidR="006D051A" w:rsidRDefault="006D051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28C229" w14:textId="77777777" w:rsidR="006D051A" w:rsidRPr="006D051A" w:rsidRDefault="006D051A" w:rsidP="006D051A">
      <w:pPr>
        <w:pStyle w:val="NoSpacing"/>
        <w:rPr>
          <w:rFonts w:ascii="Arial" w:hAnsi="Arial" w:cs="Arial"/>
          <w:b/>
          <w:bCs/>
        </w:rPr>
      </w:pPr>
      <w:r w:rsidRPr="006D051A">
        <w:rPr>
          <w:rFonts w:ascii="Arial" w:hAnsi="Arial" w:cs="Arial"/>
          <w:b/>
          <w:bCs/>
        </w:rPr>
        <w:lastRenderedPageBreak/>
        <w:t xml:space="preserve">Name of Teen Parent Units: </w:t>
      </w:r>
    </w:p>
    <w:p w14:paraId="1BAD5CCA" w14:textId="77777777" w:rsidR="006D051A" w:rsidRPr="006D051A" w:rsidRDefault="006D051A" w:rsidP="006D051A">
      <w:pPr>
        <w:pStyle w:val="NoSpacing"/>
        <w:rPr>
          <w:rFonts w:ascii="Arial" w:hAnsi="Arial" w:cs="Arial"/>
        </w:rPr>
      </w:pPr>
      <w:r w:rsidRPr="006D051A">
        <w:rPr>
          <w:rFonts w:ascii="Arial" w:hAnsi="Arial" w:cs="Arial"/>
          <w:b/>
          <w:bCs/>
        </w:rPr>
        <w:t>NSN Snapshot- Please complete for all students who have been enrolled over the reporting period.</w:t>
      </w:r>
    </w:p>
    <w:tbl>
      <w:tblPr>
        <w:tblW w:w="13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094"/>
        <w:gridCol w:w="1033"/>
        <w:gridCol w:w="1508"/>
        <w:gridCol w:w="1882"/>
        <w:gridCol w:w="1378"/>
        <w:gridCol w:w="1387"/>
        <w:gridCol w:w="3402"/>
      </w:tblGrid>
      <w:tr w:rsidR="006D051A" w:rsidRPr="004A5F6D" w14:paraId="5B194D02" w14:textId="77777777" w:rsidTr="00877B53">
        <w:trPr>
          <w:trHeight w:val="356"/>
        </w:trPr>
        <w:tc>
          <w:tcPr>
            <w:tcW w:w="611" w:type="dxa"/>
            <w:vAlign w:val="center"/>
          </w:tcPr>
          <w:p w14:paraId="64CD6635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36D6DB44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NSN Number</w:t>
            </w:r>
          </w:p>
          <w:p w14:paraId="6BA69BA3" w14:textId="77777777" w:rsidR="006D051A" w:rsidRPr="004528C9" w:rsidRDefault="006D051A" w:rsidP="00877B5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8C9">
              <w:rPr>
                <w:rFonts w:ascii="Arial" w:hAnsi="Arial" w:cs="Arial"/>
                <w:i/>
                <w:sz w:val="16"/>
                <w:szCs w:val="20"/>
              </w:rPr>
              <w:t>Add more rows as required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71ADB78B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Year level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30674F1A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65258D0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Enrolling school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025D82A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proofErr w:type="gramStart"/>
            <w:r w:rsidRPr="004A5F6D">
              <w:rPr>
                <w:rFonts w:ascii="Arial" w:hAnsi="Arial" w:cs="Arial"/>
                <w:b/>
                <w:sz w:val="20"/>
                <w:szCs w:val="20"/>
              </w:rPr>
              <w:t>of  enrolment</w:t>
            </w:r>
            <w:proofErr w:type="gramEnd"/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66E28A5D" w14:textId="77777777" w:rsidR="006D051A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</w:p>
          <w:p w14:paraId="1BE2FA16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exit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A0F1D6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Exit Destination*</w:t>
            </w:r>
          </w:p>
          <w:p w14:paraId="526A8265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51A" w:rsidRPr="004A5F6D" w14:paraId="284F2ADD" w14:textId="77777777" w:rsidTr="00877B53">
        <w:trPr>
          <w:trHeight w:val="226"/>
        </w:trPr>
        <w:tc>
          <w:tcPr>
            <w:tcW w:w="611" w:type="dxa"/>
          </w:tcPr>
          <w:p w14:paraId="74AC2A4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0BDEDCD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</w:tcPr>
          <w:p w14:paraId="7FCB892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59CE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64C22B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1DD5A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3D51AD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745E3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0D834E20" w14:textId="77777777" w:rsidTr="00877B53">
        <w:trPr>
          <w:trHeight w:val="258"/>
        </w:trPr>
        <w:tc>
          <w:tcPr>
            <w:tcW w:w="611" w:type="dxa"/>
          </w:tcPr>
          <w:p w14:paraId="002C33A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3AC77A6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1B03D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1307B2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BF2304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53235B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2424F0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DE417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EA3E143" w14:textId="77777777" w:rsidTr="00877B53">
        <w:trPr>
          <w:trHeight w:val="275"/>
        </w:trPr>
        <w:tc>
          <w:tcPr>
            <w:tcW w:w="611" w:type="dxa"/>
          </w:tcPr>
          <w:p w14:paraId="0158E2E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14:paraId="4A05005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CEA2C2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EAD65E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D2A570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C59B62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8AD033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61AFD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D138AFC" w14:textId="77777777" w:rsidTr="00877B53">
        <w:trPr>
          <w:trHeight w:val="279"/>
        </w:trPr>
        <w:tc>
          <w:tcPr>
            <w:tcW w:w="611" w:type="dxa"/>
          </w:tcPr>
          <w:p w14:paraId="3005A17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14:paraId="6310C1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4D29EB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F1FFD5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45EBA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A6E872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43344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38D36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557369F" w14:textId="77777777" w:rsidTr="00877B53">
        <w:trPr>
          <w:trHeight w:val="269"/>
        </w:trPr>
        <w:tc>
          <w:tcPr>
            <w:tcW w:w="611" w:type="dxa"/>
          </w:tcPr>
          <w:p w14:paraId="61C7BA9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14:paraId="464E12E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C386F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C1E438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0128BE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28E1DA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1141F0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F7327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F58FC2E" w14:textId="77777777" w:rsidTr="00877B53">
        <w:trPr>
          <w:trHeight w:val="273"/>
        </w:trPr>
        <w:tc>
          <w:tcPr>
            <w:tcW w:w="611" w:type="dxa"/>
          </w:tcPr>
          <w:p w14:paraId="5DD7719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14:paraId="2D2D830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609515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E82DC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D4E858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8648C4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466D8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8632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2D1E178" w14:textId="77777777" w:rsidTr="00877B53">
        <w:trPr>
          <w:trHeight w:val="135"/>
        </w:trPr>
        <w:tc>
          <w:tcPr>
            <w:tcW w:w="611" w:type="dxa"/>
          </w:tcPr>
          <w:p w14:paraId="23CF52A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14:paraId="63A246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387DAC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DE0AE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F89C2A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2FDBF8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BA8D09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62B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9DC3F8E" w14:textId="77777777" w:rsidTr="00877B53">
        <w:trPr>
          <w:trHeight w:val="309"/>
        </w:trPr>
        <w:tc>
          <w:tcPr>
            <w:tcW w:w="611" w:type="dxa"/>
          </w:tcPr>
          <w:p w14:paraId="68C38E3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14:paraId="3134853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6E84F2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3144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21A67A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A07670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9077C6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3D9DD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01C3CFD" w14:textId="77777777" w:rsidTr="00877B53">
        <w:trPr>
          <w:trHeight w:val="271"/>
        </w:trPr>
        <w:tc>
          <w:tcPr>
            <w:tcW w:w="611" w:type="dxa"/>
          </w:tcPr>
          <w:p w14:paraId="717F02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14:paraId="30863F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92C80B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B5243B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DFCCAE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5FFD5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2BB19C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D8D97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75D20A0" w14:textId="77777777" w:rsidTr="00877B53">
        <w:trPr>
          <w:trHeight w:val="275"/>
        </w:trPr>
        <w:tc>
          <w:tcPr>
            <w:tcW w:w="611" w:type="dxa"/>
          </w:tcPr>
          <w:p w14:paraId="065CB90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14:paraId="2E33635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0475D42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7577DD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284172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079B9F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8DF2CE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CAE91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4D86306" w14:textId="77777777" w:rsidTr="00877B53">
        <w:trPr>
          <w:trHeight w:val="265"/>
        </w:trPr>
        <w:tc>
          <w:tcPr>
            <w:tcW w:w="611" w:type="dxa"/>
          </w:tcPr>
          <w:p w14:paraId="5AB96AF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14:paraId="1649AB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35551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B34DF1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65F68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52857E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7C0F8D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16DAE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0508679E" w14:textId="77777777" w:rsidTr="00877B53">
        <w:trPr>
          <w:trHeight w:val="283"/>
        </w:trPr>
        <w:tc>
          <w:tcPr>
            <w:tcW w:w="611" w:type="dxa"/>
          </w:tcPr>
          <w:p w14:paraId="3C5BC33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4" w:type="dxa"/>
          </w:tcPr>
          <w:p w14:paraId="275D97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C865CF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A9C7B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160DD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C2EAA6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4B50E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6BD64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1AFF7DD9" w14:textId="77777777" w:rsidTr="00877B53">
        <w:trPr>
          <w:trHeight w:val="259"/>
        </w:trPr>
        <w:tc>
          <w:tcPr>
            <w:tcW w:w="611" w:type="dxa"/>
          </w:tcPr>
          <w:p w14:paraId="2E7BDB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4" w:type="dxa"/>
          </w:tcPr>
          <w:p w14:paraId="60A4C6E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C6EDCC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41901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E5D8C1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5D315B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DF591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DDE0A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274E578" w14:textId="77777777" w:rsidTr="00877B53">
        <w:trPr>
          <w:trHeight w:val="277"/>
        </w:trPr>
        <w:tc>
          <w:tcPr>
            <w:tcW w:w="611" w:type="dxa"/>
          </w:tcPr>
          <w:p w14:paraId="568B9CE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4" w:type="dxa"/>
          </w:tcPr>
          <w:p w14:paraId="450E8D0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A441F5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2739E2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888266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A36E3A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6C8C6D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8167B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C1ADE72" w14:textId="77777777" w:rsidTr="00877B53">
        <w:trPr>
          <w:trHeight w:val="281"/>
        </w:trPr>
        <w:tc>
          <w:tcPr>
            <w:tcW w:w="611" w:type="dxa"/>
          </w:tcPr>
          <w:p w14:paraId="09940E7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94" w:type="dxa"/>
          </w:tcPr>
          <w:p w14:paraId="0FFB345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3128F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A076D3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F6DD3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E91137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EA5AF6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47BC9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57D3C4B" w14:textId="77777777" w:rsidTr="00877B53">
        <w:trPr>
          <w:trHeight w:val="271"/>
        </w:trPr>
        <w:tc>
          <w:tcPr>
            <w:tcW w:w="611" w:type="dxa"/>
          </w:tcPr>
          <w:p w14:paraId="3DD4A3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4" w:type="dxa"/>
          </w:tcPr>
          <w:p w14:paraId="218B17F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0237D5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C8CD3F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1AD792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70D009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8DC88A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72784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1883A17" w14:textId="77777777" w:rsidTr="00877B53">
        <w:trPr>
          <w:trHeight w:val="275"/>
        </w:trPr>
        <w:tc>
          <w:tcPr>
            <w:tcW w:w="611" w:type="dxa"/>
          </w:tcPr>
          <w:p w14:paraId="407EF6C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4" w:type="dxa"/>
          </w:tcPr>
          <w:p w14:paraId="61CE92A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CDCE06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099405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246CFB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19B14C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787E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73EF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EFC33A8" w14:textId="77777777" w:rsidTr="00877B53">
        <w:trPr>
          <w:trHeight w:val="279"/>
        </w:trPr>
        <w:tc>
          <w:tcPr>
            <w:tcW w:w="611" w:type="dxa"/>
          </w:tcPr>
          <w:p w14:paraId="522957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94" w:type="dxa"/>
          </w:tcPr>
          <w:p w14:paraId="1712813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BF405C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B8D90B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F64B0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3A9E18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73DCD8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02E44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A36A659" w14:textId="77777777" w:rsidTr="00877B53">
        <w:trPr>
          <w:trHeight w:val="269"/>
        </w:trPr>
        <w:tc>
          <w:tcPr>
            <w:tcW w:w="611" w:type="dxa"/>
          </w:tcPr>
          <w:p w14:paraId="5C56B94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4" w:type="dxa"/>
          </w:tcPr>
          <w:p w14:paraId="060DCAF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A2FD26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7A7722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DD295C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2CA12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D2232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F21C5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32A7B1A" w14:textId="77777777" w:rsidTr="00877B53">
        <w:trPr>
          <w:trHeight w:val="273"/>
        </w:trPr>
        <w:tc>
          <w:tcPr>
            <w:tcW w:w="611" w:type="dxa"/>
          </w:tcPr>
          <w:p w14:paraId="1D9895A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4" w:type="dxa"/>
          </w:tcPr>
          <w:p w14:paraId="01B0E72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AA1913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34C21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ABE6E1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69359C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DE7075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0B63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217DB91" w14:textId="77777777" w:rsidTr="00877B53">
        <w:trPr>
          <w:trHeight w:val="273"/>
        </w:trPr>
        <w:tc>
          <w:tcPr>
            <w:tcW w:w="611" w:type="dxa"/>
          </w:tcPr>
          <w:p w14:paraId="2FC14D3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dxa"/>
          </w:tcPr>
          <w:p w14:paraId="25BD113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14A9F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6D241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B2BB59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6E168D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080194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55DD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B5884B0" w14:textId="77777777" w:rsidTr="00877B53">
        <w:trPr>
          <w:trHeight w:val="273"/>
        </w:trPr>
        <w:tc>
          <w:tcPr>
            <w:tcW w:w="611" w:type="dxa"/>
          </w:tcPr>
          <w:p w14:paraId="484F28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dxa"/>
          </w:tcPr>
          <w:p w14:paraId="1FD5C7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760041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9895AF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5739E8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F968BD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D7FCAA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8DC20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F3C9249" w14:textId="77777777" w:rsidTr="00877B53">
        <w:trPr>
          <w:trHeight w:val="273"/>
        </w:trPr>
        <w:tc>
          <w:tcPr>
            <w:tcW w:w="611" w:type="dxa"/>
          </w:tcPr>
          <w:p w14:paraId="0DE75C7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4" w:type="dxa"/>
          </w:tcPr>
          <w:p w14:paraId="7FD2CC8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4FDDAB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9BD9AB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9E63E3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0ECCF7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7DFF72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1859D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1E35381B" w14:textId="77777777" w:rsidTr="00877B53">
        <w:trPr>
          <w:trHeight w:val="273"/>
        </w:trPr>
        <w:tc>
          <w:tcPr>
            <w:tcW w:w="611" w:type="dxa"/>
          </w:tcPr>
          <w:p w14:paraId="41C4BE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94" w:type="dxa"/>
          </w:tcPr>
          <w:p w14:paraId="33DD841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420E86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D7FA7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546164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CD15EF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733D90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1ACCF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3A24D9C" w14:textId="77777777" w:rsidTr="00877B53">
        <w:trPr>
          <w:trHeight w:val="273"/>
        </w:trPr>
        <w:tc>
          <w:tcPr>
            <w:tcW w:w="611" w:type="dxa"/>
          </w:tcPr>
          <w:p w14:paraId="7AB635A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94" w:type="dxa"/>
          </w:tcPr>
          <w:p w14:paraId="3B3448D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FDA3FF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2D57A0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2B6D2A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ABB48E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DE874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C2722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0F61653" w14:textId="77777777" w:rsidTr="00877B53">
        <w:trPr>
          <w:trHeight w:val="273"/>
        </w:trPr>
        <w:tc>
          <w:tcPr>
            <w:tcW w:w="611" w:type="dxa"/>
          </w:tcPr>
          <w:p w14:paraId="748834D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94" w:type="dxa"/>
          </w:tcPr>
          <w:p w14:paraId="2860B7F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17D27C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6B38C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16F364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2828D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7F02D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9C084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C796832" w14:textId="77777777" w:rsidTr="00877B53">
        <w:trPr>
          <w:trHeight w:val="273"/>
        </w:trPr>
        <w:tc>
          <w:tcPr>
            <w:tcW w:w="611" w:type="dxa"/>
          </w:tcPr>
          <w:p w14:paraId="1BC3228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94" w:type="dxa"/>
          </w:tcPr>
          <w:p w14:paraId="28106D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949C7F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896E2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54A29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7EED75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6D222D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8EB9C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DAEE9" w14:textId="54A23B75" w:rsidR="006D051A" w:rsidRDefault="006D051A" w:rsidP="006D051A">
      <w:pPr>
        <w:pStyle w:val="NoSpacing"/>
        <w:rPr>
          <w:rFonts w:ascii="Arial" w:hAnsi="Arial" w:cs="Arial"/>
          <w:sz w:val="18"/>
          <w:szCs w:val="18"/>
        </w:rPr>
      </w:pPr>
      <w:r w:rsidRPr="006D051A">
        <w:rPr>
          <w:rFonts w:ascii="Arial" w:hAnsi="Arial" w:cs="Arial"/>
          <w:b/>
          <w:sz w:val="18"/>
          <w:szCs w:val="18"/>
        </w:rPr>
        <w:t xml:space="preserve">*Exit Destination. </w:t>
      </w:r>
      <w:r w:rsidRPr="006D051A">
        <w:rPr>
          <w:rFonts w:ascii="Arial" w:hAnsi="Arial" w:cs="Arial"/>
          <w:sz w:val="18"/>
          <w:szCs w:val="18"/>
        </w:rPr>
        <w:t xml:space="preserve">Please choose one of the following: </w:t>
      </w:r>
    </w:p>
    <w:p w14:paraId="6ECFD23D" w14:textId="77777777" w:rsidR="006D051A" w:rsidRPr="006D051A" w:rsidRDefault="006D051A" w:rsidP="006D051A">
      <w:pPr>
        <w:pStyle w:val="NoSpacing"/>
        <w:rPr>
          <w:rFonts w:ascii="Arial" w:hAnsi="Arial" w:cs="Arial"/>
          <w:sz w:val="18"/>
          <w:szCs w:val="18"/>
        </w:rPr>
      </w:pPr>
    </w:p>
    <w:p w14:paraId="5DE24BF0" w14:textId="2720B086" w:rsidR="0034271D" w:rsidRPr="006D051A" w:rsidRDefault="006D051A" w:rsidP="006D051A">
      <w:pPr>
        <w:rPr>
          <w:rFonts w:ascii="Arial" w:hAnsi="Arial" w:cs="Arial"/>
          <w:sz w:val="18"/>
          <w:szCs w:val="18"/>
        </w:rPr>
      </w:pPr>
      <w:r w:rsidRPr="006D051A">
        <w:rPr>
          <w:rFonts w:ascii="Arial" w:hAnsi="Arial" w:cs="Arial"/>
          <w:sz w:val="18"/>
          <w:szCs w:val="18"/>
        </w:rPr>
        <w:t xml:space="preserve">Returned to school; Employment; Training course; Alternative Education; Turned 16 – finished schooling; Deceased; Te Kura Correspondence School; Home education exemption; In </w:t>
      </w:r>
      <w:proofErr w:type="spellStart"/>
      <w:r w:rsidRPr="006D051A">
        <w:rPr>
          <w:rFonts w:ascii="Arial" w:hAnsi="Arial" w:cs="Arial"/>
          <w:sz w:val="18"/>
          <w:szCs w:val="18"/>
        </w:rPr>
        <w:t>Oranga</w:t>
      </w:r>
      <w:proofErr w:type="spellEnd"/>
      <w:r w:rsidRPr="006D051A">
        <w:rPr>
          <w:rFonts w:ascii="Arial" w:hAnsi="Arial" w:cs="Arial"/>
          <w:sz w:val="18"/>
          <w:szCs w:val="18"/>
        </w:rPr>
        <w:t xml:space="preserve"> Tamariki – Ministry for Children (or other agency) care; Detained in custody.</w:t>
      </w:r>
    </w:p>
    <w:sectPr w:rsidR="0034271D" w:rsidRPr="006D051A" w:rsidSect="006D051A"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B72F" w14:textId="77777777" w:rsidR="00964C2F" w:rsidRDefault="00964C2F" w:rsidP="000F49A6">
      <w:pPr>
        <w:spacing w:after="0" w:line="240" w:lineRule="auto"/>
      </w:pPr>
      <w:r>
        <w:separator/>
      </w:r>
    </w:p>
  </w:endnote>
  <w:endnote w:type="continuationSeparator" w:id="0">
    <w:p w14:paraId="769D1D07" w14:textId="77777777" w:rsidR="00964C2F" w:rsidRDefault="00964C2F" w:rsidP="000F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8B2" w14:textId="77777777" w:rsidR="00964C2F" w:rsidRDefault="00964C2F" w:rsidP="000F49A6">
      <w:pPr>
        <w:spacing w:after="0" w:line="240" w:lineRule="auto"/>
      </w:pPr>
      <w:r>
        <w:separator/>
      </w:r>
    </w:p>
  </w:footnote>
  <w:footnote w:type="continuationSeparator" w:id="0">
    <w:p w14:paraId="150BF841" w14:textId="77777777" w:rsidR="00964C2F" w:rsidRDefault="00964C2F" w:rsidP="000F49A6">
      <w:pPr>
        <w:spacing w:after="0" w:line="240" w:lineRule="auto"/>
      </w:pPr>
      <w:r>
        <w:continuationSeparator/>
      </w:r>
    </w:p>
  </w:footnote>
  <w:footnote w:id="1">
    <w:p w14:paraId="1DC7AD9B" w14:textId="1A65002E" w:rsidR="00245DFD" w:rsidRPr="007E62FF" w:rsidRDefault="00245DFD" w:rsidP="007E62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4D"/>
    <w:multiLevelType w:val="hybridMultilevel"/>
    <w:tmpl w:val="953C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5A4"/>
    <w:multiLevelType w:val="hybridMultilevel"/>
    <w:tmpl w:val="C4FA22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C4E"/>
    <w:multiLevelType w:val="hybridMultilevel"/>
    <w:tmpl w:val="0AB8789A"/>
    <w:lvl w:ilvl="0" w:tplc="1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5611"/>
    <w:multiLevelType w:val="hybridMultilevel"/>
    <w:tmpl w:val="0D222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56E"/>
    <w:multiLevelType w:val="hybridMultilevel"/>
    <w:tmpl w:val="071C0A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10BED"/>
    <w:multiLevelType w:val="hybridMultilevel"/>
    <w:tmpl w:val="F564AB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7FA5"/>
    <w:multiLevelType w:val="multilevel"/>
    <w:tmpl w:val="B26C7C4A"/>
    <w:name w:val="CT Commercial Agreement3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" w15:restartNumberingAfterBreak="0">
    <w:nsid w:val="5CB97DC5"/>
    <w:multiLevelType w:val="hybridMultilevel"/>
    <w:tmpl w:val="71C28FE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542C"/>
    <w:multiLevelType w:val="hybridMultilevel"/>
    <w:tmpl w:val="6F4E9EE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A4899"/>
    <w:multiLevelType w:val="hybridMultilevel"/>
    <w:tmpl w:val="CE3E9B7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B6056"/>
    <w:multiLevelType w:val="hybridMultilevel"/>
    <w:tmpl w:val="40BCD15E"/>
    <w:lvl w:ilvl="0" w:tplc="CAC0A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3947"/>
    <w:multiLevelType w:val="hybridMultilevel"/>
    <w:tmpl w:val="04EC2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A6"/>
    <w:rsid w:val="00002031"/>
    <w:rsid w:val="00006853"/>
    <w:rsid w:val="00010685"/>
    <w:rsid w:val="00017A1D"/>
    <w:rsid w:val="00051167"/>
    <w:rsid w:val="00064E05"/>
    <w:rsid w:val="00071010"/>
    <w:rsid w:val="00074A93"/>
    <w:rsid w:val="000847B5"/>
    <w:rsid w:val="00085234"/>
    <w:rsid w:val="000970CB"/>
    <w:rsid w:val="000F16C5"/>
    <w:rsid w:val="000F216B"/>
    <w:rsid w:val="000F49A6"/>
    <w:rsid w:val="0010571A"/>
    <w:rsid w:val="00142247"/>
    <w:rsid w:val="001A3E91"/>
    <w:rsid w:val="001E5D9C"/>
    <w:rsid w:val="002126A6"/>
    <w:rsid w:val="002261C2"/>
    <w:rsid w:val="00245DFD"/>
    <w:rsid w:val="00247328"/>
    <w:rsid w:val="0025090E"/>
    <w:rsid w:val="0027249C"/>
    <w:rsid w:val="00274061"/>
    <w:rsid w:val="002769C2"/>
    <w:rsid w:val="00283D6E"/>
    <w:rsid w:val="002B6269"/>
    <w:rsid w:val="002D30AA"/>
    <w:rsid w:val="0031279A"/>
    <w:rsid w:val="0034271D"/>
    <w:rsid w:val="00371425"/>
    <w:rsid w:val="00371F41"/>
    <w:rsid w:val="0038650A"/>
    <w:rsid w:val="003D1B18"/>
    <w:rsid w:val="003D5F0D"/>
    <w:rsid w:val="003E0B5B"/>
    <w:rsid w:val="00411A1E"/>
    <w:rsid w:val="00457A63"/>
    <w:rsid w:val="00466C7D"/>
    <w:rsid w:val="0048078F"/>
    <w:rsid w:val="00491BB8"/>
    <w:rsid w:val="0051127C"/>
    <w:rsid w:val="005360FB"/>
    <w:rsid w:val="00576FA1"/>
    <w:rsid w:val="00580B9B"/>
    <w:rsid w:val="00581749"/>
    <w:rsid w:val="005D60A5"/>
    <w:rsid w:val="005E087E"/>
    <w:rsid w:val="005E6C56"/>
    <w:rsid w:val="00603044"/>
    <w:rsid w:val="00604DEC"/>
    <w:rsid w:val="00610991"/>
    <w:rsid w:val="00644631"/>
    <w:rsid w:val="0065111A"/>
    <w:rsid w:val="00665C54"/>
    <w:rsid w:val="0067355E"/>
    <w:rsid w:val="006A6255"/>
    <w:rsid w:val="006C7052"/>
    <w:rsid w:val="006D051A"/>
    <w:rsid w:val="00726BD1"/>
    <w:rsid w:val="00731918"/>
    <w:rsid w:val="00753275"/>
    <w:rsid w:val="0075492E"/>
    <w:rsid w:val="00776350"/>
    <w:rsid w:val="007E24FD"/>
    <w:rsid w:val="007E62FF"/>
    <w:rsid w:val="007F4224"/>
    <w:rsid w:val="00814C58"/>
    <w:rsid w:val="00842819"/>
    <w:rsid w:val="00856681"/>
    <w:rsid w:val="00866DB9"/>
    <w:rsid w:val="00884688"/>
    <w:rsid w:val="0089130B"/>
    <w:rsid w:val="008E27FA"/>
    <w:rsid w:val="008E6A06"/>
    <w:rsid w:val="00947DFB"/>
    <w:rsid w:val="009536B2"/>
    <w:rsid w:val="00961CE7"/>
    <w:rsid w:val="00964C2F"/>
    <w:rsid w:val="00973C89"/>
    <w:rsid w:val="00975626"/>
    <w:rsid w:val="00991CEB"/>
    <w:rsid w:val="009B4BDC"/>
    <w:rsid w:val="009B7CD3"/>
    <w:rsid w:val="009F14E6"/>
    <w:rsid w:val="00A630A0"/>
    <w:rsid w:val="00A849CC"/>
    <w:rsid w:val="00AB3129"/>
    <w:rsid w:val="00AD3FD8"/>
    <w:rsid w:val="00AF0DCC"/>
    <w:rsid w:val="00AF2946"/>
    <w:rsid w:val="00AF3AB6"/>
    <w:rsid w:val="00B12652"/>
    <w:rsid w:val="00B170A0"/>
    <w:rsid w:val="00B7466D"/>
    <w:rsid w:val="00BB001B"/>
    <w:rsid w:val="00BC68B0"/>
    <w:rsid w:val="00BE3B39"/>
    <w:rsid w:val="00C0496C"/>
    <w:rsid w:val="00C36D44"/>
    <w:rsid w:val="00CB64C8"/>
    <w:rsid w:val="00CB657C"/>
    <w:rsid w:val="00CC7771"/>
    <w:rsid w:val="00CF0EF5"/>
    <w:rsid w:val="00D100EE"/>
    <w:rsid w:val="00DB0134"/>
    <w:rsid w:val="00DB7400"/>
    <w:rsid w:val="00DC0C0E"/>
    <w:rsid w:val="00DC460C"/>
    <w:rsid w:val="00DF47A9"/>
    <w:rsid w:val="00DF7F3C"/>
    <w:rsid w:val="00E0722F"/>
    <w:rsid w:val="00E13048"/>
    <w:rsid w:val="00E23BCA"/>
    <w:rsid w:val="00E33562"/>
    <w:rsid w:val="00E50821"/>
    <w:rsid w:val="00E73C81"/>
    <w:rsid w:val="00EA4870"/>
    <w:rsid w:val="00EA5492"/>
    <w:rsid w:val="00EC4163"/>
    <w:rsid w:val="00ED134D"/>
    <w:rsid w:val="00EE35C3"/>
    <w:rsid w:val="00F07649"/>
    <w:rsid w:val="00F13401"/>
    <w:rsid w:val="00F13788"/>
    <w:rsid w:val="00F16F89"/>
    <w:rsid w:val="00F2681E"/>
    <w:rsid w:val="00F42F02"/>
    <w:rsid w:val="00F47C6A"/>
    <w:rsid w:val="00F61223"/>
    <w:rsid w:val="00F761F8"/>
    <w:rsid w:val="00F91B65"/>
    <w:rsid w:val="00F92B2D"/>
    <w:rsid w:val="00FA2288"/>
    <w:rsid w:val="00FB5E48"/>
    <w:rsid w:val="00FD738F"/>
    <w:rsid w:val="00FE0FB3"/>
    <w:rsid w:val="00FE4D28"/>
    <w:rsid w:val="00FF0D26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6D2F"/>
  <w15:docId w15:val="{7CAD89FE-1F36-4A28-9E05-29E78E2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A6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0F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A6"/>
    <w:rPr>
      <w:rFonts w:eastAsia="Calibri" w:cs="Times New Roman"/>
      <w:sz w:val="20"/>
      <w:szCs w:val="20"/>
    </w:rPr>
  </w:style>
  <w:style w:type="paragraph" w:customStyle="1" w:styleId="Arial1100">
    <w:name w:val="Arial1100"/>
    <w:basedOn w:val="Normal"/>
    <w:link w:val="Arial1100Char"/>
    <w:rsid w:val="000F49A6"/>
    <w:pPr>
      <w:spacing w:after="0" w:line="240" w:lineRule="auto"/>
      <w:jc w:val="center"/>
    </w:pPr>
    <w:rPr>
      <w:rFonts w:ascii="Arial" w:eastAsia="Times New Roman" w:hAnsi="Arial"/>
      <w:lang w:val="en-GB"/>
    </w:rPr>
  </w:style>
  <w:style w:type="character" w:customStyle="1" w:styleId="Arial1100Char">
    <w:name w:val="Arial1100 Char"/>
    <w:link w:val="Arial1100"/>
    <w:rsid w:val="000F49A6"/>
    <w:rPr>
      <w:rFonts w:ascii="Arial" w:eastAsia="Times New Roman" w:hAnsi="Arial" w:cs="Times New Roman"/>
      <w:lang w:val="en-GB"/>
    </w:rPr>
  </w:style>
  <w:style w:type="paragraph" w:customStyle="1" w:styleId="Normal1">
    <w:name w:val="Normal1"/>
    <w:rsid w:val="000F49A6"/>
    <w:pPr>
      <w:spacing w:after="0" w:line="276" w:lineRule="auto"/>
    </w:pPr>
    <w:rPr>
      <w:rFonts w:ascii="Arial" w:eastAsia="Arial" w:hAnsi="Arial" w:cs="Arial"/>
      <w:color w:val="000000"/>
      <w:szCs w:val="20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0F49A6"/>
    <w:pPr>
      <w:ind w:left="720"/>
    </w:pPr>
  </w:style>
  <w:style w:type="paragraph" w:customStyle="1" w:styleId="Arial11-10">
    <w:name w:val="Arial11-10"/>
    <w:basedOn w:val="Normal"/>
    <w:link w:val="Arial11-10Char"/>
    <w:rsid w:val="000F49A6"/>
    <w:pPr>
      <w:framePr w:hSpace="180" w:wrap="around" w:vAnchor="text" w:hAnchor="margin" w:y="29"/>
      <w:spacing w:after="0" w:line="240" w:lineRule="auto"/>
      <w:suppressOverlap/>
    </w:pPr>
    <w:rPr>
      <w:rFonts w:ascii="Arial" w:eastAsia="Times New Roman" w:hAnsi="Arial"/>
      <w:b/>
      <w:lang w:val="en-GB"/>
    </w:rPr>
  </w:style>
  <w:style w:type="character" w:customStyle="1" w:styleId="Arial11-10Char">
    <w:name w:val="Arial11-10 Char"/>
    <w:link w:val="Arial11-10"/>
    <w:rsid w:val="000F49A6"/>
    <w:rPr>
      <w:rFonts w:ascii="Arial" w:eastAsia="Times New Roman" w:hAnsi="Arial" w:cs="Times New Roman"/>
      <w:b/>
      <w:lang w:val="en-GB"/>
    </w:rPr>
  </w:style>
  <w:style w:type="paragraph" w:styleId="NoSpacing">
    <w:name w:val="No Spacing"/>
    <w:uiPriority w:val="1"/>
    <w:qFormat/>
    <w:rsid w:val="000F49A6"/>
    <w:pPr>
      <w:spacing w:after="0" w:line="240" w:lineRule="auto"/>
    </w:pPr>
    <w:rPr>
      <w:rFonts w:eastAsia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49A6"/>
    <w:rPr>
      <w:rFonts w:eastAsia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9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9A6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49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A6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842819"/>
    <w:pPr>
      <w:shd w:val="clear" w:color="auto" w:fill="000080"/>
      <w:spacing w:after="290" w:line="290" w:lineRule="atLeas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4281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semiHidden/>
    <w:unhideWhenUsed/>
    <w:rsid w:val="00DC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eers.govt.nz/practitioners/planning/career-education-benchmarks/revised-career-education-benchmarks-secondar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B4FC6981D46429ED45FE596B92C85" ma:contentTypeVersion="17" ma:contentTypeDescription="Create a new document." ma:contentTypeScope="" ma:versionID="ee383fb29e2e0a467f17b785978bd010">
  <xsd:schema xmlns:xsd="http://www.w3.org/2001/XMLSchema" xmlns:xs="http://www.w3.org/2001/XMLSchema" xmlns:p="http://schemas.microsoft.com/office/2006/metadata/properties" xmlns:ns2="d0972f1e-3291-43ec-98ea-969e00fa6ab8" xmlns:ns3="e1ab38be-78f1-475a-ac7b-81ce5599c469" targetNamespace="http://schemas.microsoft.com/office/2006/metadata/properties" ma:root="true" ma:fieldsID="dec7b50747745852dcc164b0d91ef6d3" ns2:_="" ns3:_="">
    <xsd:import namespace="d0972f1e-3291-43ec-98ea-969e00fa6ab8"/>
    <xsd:import namespace="e1ab38be-78f1-475a-ac7b-81ce5599c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2f1e-3291-43ec-98ea-969e00fa6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38be-78f1-475a-ac7b-81ce5599c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22C3-05C3-4397-B704-2DD768710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72f1e-3291-43ec-98ea-969e00fa6ab8"/>
    <ds:schemaRef ds:uri="e1ab38be-78f1-475a-ac7b-81ce5599c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FEC6-F642-46F3-9BB1-CCA84B82C5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CFD455-5ECE-4EF6-82D9-677682764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3E711-6AAE-404A-9E05-1F6B0F6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Moss</dc:creator>
  <cp:lastModifiedBy>Sharie Pere</cp:lastModifiedBy>
  <cp:revision>4</cp:revision>
  <dcterms:created xsi:type="dcterms:W3CDTF">2022-12-07T19:51:00Z</dcterms:created>
  <dcterms:modified xsi:type="dcterms:W3CDTF">2022-12-07T19:52:00Z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0x0101007CBB4FC6981D46429ED45FE596B92C85</vt:lpwstr>
  </property>
</Properties>
</file>